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249</w:t>
      </w:r>
    </w:p>
    <w:p>
      <w:r>
        <w:t>Bundesgericht (BGE), 2007-04-27, FR</w:t>
      </w:r>
    </w:p>
    <w:p>
      <w:r>
        <w:rPr>
          <w:b/>
        </w:rPr>
        <w:t xml:space="preserve">Quelle: </w:t>
      </w:r>
      <w:r>
        <w:t>https://mcp.opencaselaw.ch/entscheid/bge_133 I 249</w:t>
      </w:r>
    </w:p>
    <w:p>
      <w:r>
        <w:t>FR: ATF 133 I 249</w:t>
      </w:r>
    </w:p>
    <w:p>
      <w:r>
        <w:t>IT: DTF 133 I 249</w:t>
      </w:r>
    </w:p>
    <w:p>
      <w:pPr>
        <w:pStyle w:val="Heading2"/>
      </w:pPr>
      <w:r>
        <w:t>Regeste</w:t>
      </w:r>
    </w:p>
    <w:p>
      <w:r>
        <w:t>Regeste Ausführungs- und Übergangsbestimmungen betreffend die zwölf verbotenen Hunderassen und deren Kreuzungen im Kanton Wallis; Art. 10 Abs. 2 BV; gesetzliche Grundlage; Art. 8 und 9 BV. Das Halten von Hunden einer bestimmten Rasse fällt grundsätzlich nicht in den Schutzbereich der persönlichen Freiheit (E. 2). Die heutige bundesstaatliche Kompetenzordnung für den Tierschutz verbietet den Kantonen nicht, Regelungen betreffend die Tierhaltung zum Schutz der Sicherheit und der öffentlichen Ordnung zu erlassen (E. 3.2). Das Gleichbehandlungsgebot schliesst nicht aus, dass die Kantone über die gleiche Materie unterschiedliche Regelungen erlassen und dass das mit der angefochtenen Regelung statuierte Verbot der Haltung von auf der Rasseliste stehenden Hunden für die sich nur vorübergehend im Kanton Wallis aufhaltenden Personen nicht gilt (E. 3.4). Das absolute Verbot gewisser Hunderassen, das weniger als 1,7 % des Walliser Hundebestandes erfasst, stellt keine unvernünftige Massnahme dar und verstösst somit weder gegen Art. 8 noch gegen Art. 9 BV (E. 4.2). Selbst wenn die Liste der verbotenen Hunderassen nicht perfekt und provisorisch ist, erweist sie sich nicht als verfassungswidrig (E. 4.3).</w:t>
      </w:r>
    </w:p>
    <w:p>
      <w:pPr>
        <w:pStyle w:val="Heading2"/>
      </w:pPr>
      <w:r>
        <w:t>Erwägungen</w:t>
      </w:r>
    </w:p>
    <w:p>
      <w:r>
        <w:rPr>
          <w:b/>
        </w:rPr>
        <w:t>E. 2</w:t>
      </w:r>
    </w:p>
    <w:p>
      <w:r>
        <w:t>Les recourants invoquent d'abord la violation de la liberté personnelle ( art. 10 al. 2 Cst. ). La question de savoir si et dans quelle mesure l'interdiction de détenir un chien tombe dans le champ d'application de ce droit fondamental comme élément indispensable à l'épanouissement de la personne humaine est demeurée indécise jusqu'à présent ( ATF 132 I 7 consid. 3.2; arrêt 2P.221/2006 du 2 mars 2007, consid. 2). Il sied de préciser qu'en principe la détention de chiens appartenant à une race déterminée n'entre pas dans le champ d'application de la liberté personnelle. Une atteinte à ce droit fondamental pourrait, le cas échéant, être admise lorsque le détenteur d'un chien est obligé de se séparer de son animal avec lequel il BGE 133 I 249 S. 253 entretient une relation affective étroite ou lorsqu'un passionné de chiens se voit interdire de manière générale la détention d'un chien. Tel n'est pas le cas en l'espèce. Les recourants ne font pas valoir que la réglementation attaquée les contraindrait (respectivement leurs membres concernés) à se séparer ou à euthanasier leurs chiens. Ils ne doivent pas non plus s'attendre à ce que de telles mesures, fondées sur ladite réglementation, soient adoptées si les chiens qu'ils détiennent déjà ont vraiment les caractéristiques mentionnées dans l'acte de recours. Certes, en cas d'acquisition d'un nouveau chien, les recourants seront limités aux races ne figurant pas sur la liste litigieuse, mais cette limitation du choix ne constitue pas à elle seule une atteinte à l'épanouissement indispensable de la personne humaine protégé par le droit fondamental à la liberté personnelle.</w:t>
      </w:r>
    </w:p>
    <w:p>
      <w:r>
        <w:rPr>
          <w:b/>
        </w:rPr>
        <w:t>E. 3.1</w:t>
      </w:r>
    </w:p>
    <w:p>
      <w:r>
        <w:t>Aux yeux des recourants, la réglementation attaquée, qui interdit la détention de chiens figurant sur la liste incriminée et qui prévoit comme mesure transitoire la stérilisation de ces animaux, violerait les principes de l'égalité et de la protection contre l'arbitraire. La délimitation prévue par la liste édictée ne reposerait sur aucune base scientifique. Par ailleurs, la réglementation choquerait le sens du droit d'équité. Ainsi, un citoyen domicilié dans le canton du Valais se verrait interdire la détention d'un chien figurant sur la liste des chiens interdits, alors que les ressortissants d'autres cantons pourraient séjourner en Valais avec de tels chiens. De plus, il serait difficile voire impossible d'identifier les croisements interdits. La réglementation entraînerait à maints égards des résultats contradictoires. Alors que la race Dobermann serait soumise à des mesures draconiennes, le Berger allemand ou le Saint-Bernard ne figureraient pas sur la liste. Une partie des chiens de race figurant sur la liste litigieuse n'aurait jamais été impliquée dans des accidents par morsures de chiens, répertoriés dans l'étude scientifique consacrée à ce sujet (voir Medizinisch versorgte Hundebissverletzungen in der Schweiz, Opfer-Hunde-Unfallsituationen, URSULA HORISBERGER, thèse Berne 2002). Selon cette étude, 90 % des morsures nécessitant des soins médicaux seraient causées par des chiens qui ne sont ni des molosses, ni des chiens de combat. De 1995 à 2005, trois accidents mortels auraient été répertoriés (1999: décès d'une personne âgée des suites d'une morsure à la jambe survenue plusieurs semaines auparavant; 2000: décès par noyade d'une femme poursuivie par un chien; 2005: enfant mortellement blessé par une BGE 133 I 249 S. 254 meute de chiens). Dans le canton du Valais, un Saint-Bernard, dont la race ne figure pas sur la liste incriminée, aurait été à l'origine du dernier accident mortel, survenu en 1937. Les recourants soutiennent encore que la liste des accidents mortels répertoriés en Allemagne de 1968 à 2005 ne se référerait à aucune des races interdites. Par ailleurs, il serait erroné d'assimiler les molosses et les chiens de combat. Enfin, la réglementation attaquée, fondée sur la LcLPA, ne reposerait pas sur une base légale suffisante, dès lors que la loi fédérale sur la protection des animaux aurait pour objectif prioritaire de protéger les animaux et non les hommes.</w:t>
      </w:r>
    </w:p>
    <w:p>
      <w:r>
        <w:rPr>
          <w:b/>
        </w:rPr>
        <w:t>E. 3.2</w:t>
      </w:r>
    </w:p>
    <w:p>
      <w:r>
        <w:t>Dans la mesure où les recourants se plaignent de ce que la réglementation attaquée ne repose pas sur une base légale suffisante, leur grief doit être rejeté. La loi fédérale du 9 mars 1978 sur la protection des animaux (LPA; RS 455) tend exclusivement à la protection de ceux-ci, tout comme la LcLPA sur laquelle se fonde l'arrêté entrepris. Toutefois, compte tenu des dispositions sur la compétence fédérale en la matière (cf. art. 80 Cst. ), rien n'empêche les cantons de prévoir des règles de police sur la détention des animaux visant à préserver la sécurité et l'ordre publics (cf. ATF 133 I 172 consid. 2 p. 174 et l'arrêt cité). Le canton du Valais a fait usage de cette faculté en édictant non pas une loi spéciale mais un arrêté d'exécution de la LPA, singulièrement les articles 24a ss LcLPA, dont la validité ne saurait ainsi être contestée. La question de savoir si l'art. 24b LcLPA constitue une base légale suffisante ne doit être examinée que sous l'angle de l'arbitraire, vu qu'en l'espèce la violation d'un droit fondamental spécifique n'est pas en cause. En édictant les dispositions attaquées, le Conseil d'Etat n'a manifestement pas outrepassé ses compétences.</w:t>
      </w:r>
    </w:p>
    <w:p>
      <w:r>
        <w:rPr>
          <w:b/>
        </w:rPr>
        <w:t>E. 3.3</w:t>
      </w:r>
    </w:p>
    <w:p>
      <w:r>
        <w:t>Il convient d'examiner si le contenu de la réglementation attaquée est conforme aux art. 8 et 9 Cst. Un arrêté de portée générale viole le principe de l'égalité ancré à l' art. 8 al. 1 Cst. - ainsi que le principe de la protection contre l'arbitraire ( art. 9 Cst. ) qui est étroitement lié à celui de l'égalité -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Il faut que le traitement différent ou BGE 133 I 249 S. 255 semblable injustifié se rapporte à une situation de fait importante ( ATF 131 I 1 consid. 4.2 p. 6-7, ATF 131 I 394 consid. 4.2 p. 399).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 ATF 131 I 1 consid. 4.2 p. 7).</w:t>
      </w:r>
    </w:p>
    <w:p>
      <w:r>
        <w:rPr>
          <w:b/>
        </w:rPr>
        <w:t>E. 3.4</w:t>
      </w:r>
    </w:p>
    <w:p>
      <w:r>
        <w:t>Dans la mesure où les recourants soutiennent que le principe de l'égalité serait violé parce que les ressortissants d'autres cantons seraient soumis à des règles moins strictes que celles qui sont applicables aux citoyens valaisans, leur grief tombe à faux. Le principe de l'égalité n'exclut pas que les cantons édictent des réglementations différentes dans le même domaine; cela résulte de la structure fédéraliste de la Suisse ( ATF 125 I 173 consid. 6d p. 179 et les arrêts cités). L'exiguïté du territoire et la mobilité de la population peuvent expliquer les attentes de celle-ci quant à l'unification - du moins partielle - au niveau national des règles sur la détention des chiens; toutefois, d'après les règles fédérales actuelles sur la compétence, les cantons sont libres - dans les limites tracées par la Constitution fédérale - de régler cette question comme ils l'entendent (cf. art. 3 Cst. ). De même, ne constitue pas une violation du principe de l'égalité le fait que l'interdiction introduite par l'arrêté attaqué de détenir des chiens figurant sur la liste ne soit pas applicable aux personnes qui séjournent provisoirement, soit 30 jours au maximum dans le canton du Valais. Cette exception en faveur des détenteurs de chiens qui sont soumis à d'autres règles en raison de leur domicile en dehors du canton du Valais repose sur des motifs objectifs. Dès lors, la seule question qui se pose est celle de savoir si la réglementation contestée respecte les principes de l'égalité et de la protection contre l'arbitraire en ce qui concerne les détenteurs de chien domiciliés dans le canton du Valais.</w:t>
      </w:r>
    </w:p>
    <w:p>
      <w:r>
        <w:rPr>
          <w:b/>
        </w:rPr>
        <w:t>E. 4.1</w:t>
      </w:r>
    </w:p>
    <w:p>
      <w:r>
        <w:t>L'interdiction absolue de certaines races de chiens et de leurs croisements, fondée sur l'art. 24b al. 2 LcLPA, tend à protéger la population du risque de blessures graves par morsures. Toutefois, pour éviter de telles blessures, d'autres mesures sont envisageables (voir les recommandations du groupe de travail de l'Office vétérinaire fédéral relatives à la teneur des législations cantonales sur BGE 133 I 249 S. 256 les chiens dangereux [état au 21 décembre 2000]). Ainsi, des mesures préventives peuvent d'abord viser la personne du détenteur, en soumettant l'autorisation de détenir des chiens potentiellement dangereux à des conditions particulières (aptitude personnelle, formation, conditions adéquates quant à l'espace, éventuellement preuve de l'utilisation du chien à des fins particulières, notamment dans les services de protection) et en instaurant l'obligation d'obtenir une telle autorisation. Par ailleurs, les mesures de protection peuvent porter sur la détention même des chiens, en imposant la laisse ou le port de la muselière à certaines catégories de chiens dans certains espaces délimités (lieux publics très fréquentés; cf. ATF 133 I 145 consid. 4.2 et 5 p. 147 s.) ou en limitant la détention ainsi que la promenade simultanée de plusieurs chiens potentiellement dangereux (cf. ATF 133 I 172 consid. 3 p. 177). Une autre mesure préventive peut consister en l'obligation de soumettre des chiens potentiellement dangereux ou identifiés comme tels à un test de comportement déterminant pour obtenir une autorisation ou pour continuer à en bénéficier. De même, l'obligation d'annoncer les accidents par morsures, telle que prévue sur le plan fédéral par l'art. 34a al. 1 let. a - dans sa teneur du 12 avril 2006 - de l'ordonnance sur la protection des animaux (OPAn; RS 455.1) peut constituer un fondement pour des mesures de protection concrètes (cf. ATF 133 I 172 consid. 2 p. 175). Enfin, le danger potentiel émanant des chiens peut être réduit par des règles sur l'élevage et le commerce interdisant la poursuite de l'élevage de lignées de chiens agressifs ou l'importation de chiens de provenance invérifiable.</w:t>
      </w:r>
    </w:p>
    <w:p>
      <w:r>
        <w:rPr>
          <w:b/>
        </w:rPr>
        <w:t>E. 4.2</w:t>
      </w:r>
    </w:p>
    <w:p>
      <w:r>
        <w:t>Si la nécessité de mesures de protection n'est pas contestée, il n'en va pas de même du genre et de l'ampleur de ces mesures, en raison notamment des intérêts divergents qui sont en cause. L'interdiction absolue de certaines races de chiens et de leurs croisements, édictée par le Conseil d'Etat du canton du Valais, pourrait apparaître comme étant excessive, compte tenu de la responsabilité incombant en principe aux détenteurs de chiens, d'une part, ainsi que de l'existence de toute une palette de mesures moins restrictives, d'autre part. Nonobstant l'absence de données statistiques fiables, il est toutefois avéré que des chiens (y compris ceux appartenant à certaines races) peuvent provoquer et ont provoqué des accidents (extrêmement) graves, qui ont affecté non seulement d'autres chiens mais encore et surtout des personnes (cf. ATF 133 I 172 consid. 3 p. 176 s.). De plus, certaines races de chiens sont BGE 133 I 249 S. 257 susceptibles d'effrayer la population, créant ainsi un sentiment d'insécurité. En cas d'interdiction absolue de détenir certaines races de chiens réputés pour être agressifs et dangereux (molosses, chiens de combat) et de procéder à leurs croisements, l'intérêt des détenteurs ou acquéreurs potentiels s'oppose en principe à celui du public - en particulier à celui des enfants - pour lequel il est primordial d'éviter les risques que représentent des chiens (potentiellement) dangereux, c'est-à-dire les atteintes à la vie et à l'intégrité corporelle (art. 10 al. 1 et 2 respectivement art. 11 al. 1 Cst. ). Cette disproportion manifeste des intérêts en présence permet de considérer que l'interdiction contestée, limitée à certaines races de chiens qui représentent 1,7 % du parc canin valaisan, ne constitue pas une mesure déraisonnable, puisqu'elle a pour but de garantir la sécurité publique et la protection de la population; dès lors, elle ne viole pas les art. 8 et 9 Cst. Ainsi, le législateur cantonal pouvait, dans le cadre de son pouvoir d'appréciation, préférer l'interdiction pure et simple de certaines races de chiens et de leurs croisements - même si ces derniers ne sont pas toujours aisément identifiables - à l'instauration de mesures spécifiques dont le contrôle s'avère difficile à effectuer.</w:t>
      </w:r>
    </w:p>
    <w:p>
      <w:r>
        <w:rPr>
          <w:b/>
        </w:rPr>
        <w:t>E. 4.3</w:t>
      </w:r>
    </w:p>
    <w:p>
      <w:r>
        <w:t>S'agissant plus précisément de la liste contestée, il sied d'abord de relever qu'en interdisant la détention de chiens de douze races, le canton du Valais a instauré la réglementation cantonale la plus restrictive à ce jour, d'autres cantons ne prévoyant qu'un régime d'autorisation pour la détention de chiens dangereux ou potentiellement dangereux (cf. notamment ATF 132 I 7 pour Bâle-Campagne et l' ATF 133 I 172 précité pour Genève). Cette diversité des réglementations cantonales témoigne du large pouvoir d'appréciation des cantons, compétents en la matière. Plusieurs éléments peuvent entrer en ligne de compte lors de l'établissement d'une liste de chiens interdits. L'appartenance d'un chien à une certaine race n'est certes pas un critère exclusif pour le degré de sa dangerosité, le caractère de cet animal étant dans une grande mesure formé par son éducation (socialisation) et par les influences de son environnement ( ATF 132 I 7 consid. 4.2 p. 11 et les références). Toutefois, les morsures de certaines races de chiens et de leurs croisements ont des conséquences particulièrement graves, dues notamment à la morphologie, à la force, à la façon d'attaquer ou au "seuil d'excitation" de l'animal. Par ailleurs, la liste valaisanne, sur laquelle figurent des races de chiens à problèmes, BGE 133 I 249 S. 258 correspond quasiment à la liste édictée par l'Office vétérinaire fédéral, le 12 janvier 2006, comprenant treize races, qu'il était prévu de soumettre à autorisation (American Staffordshire Terrier, Bull-terrier, Chien de cour italien, Dobermann, Dogue argentin, Fila Brasileiro, Mastiff, Mâtin espagnol, Mâtin napolitain, Dogue des canaries, Rottweiler, Staffordshire Bull Terrier et Tosa) ainsi que les chiens de type pitbull, dont l'interdiction était prévue (cf. Mesures "Chiens dangereux", publication de l'Office vétérinaire fédéral, parue en janvier 2006). La liste valaisanne comprend également les huit races de chiens qui ont été soumises à autorisation dans le canton de Bâle-Campagne ( ATF 132 I 7 précité). Même s'il faut reconnaître que la liste contestée est, en l'état, imparfaite, du fait que certaines races de chiens y figurent alors que leur dangerosité n'est scientifiquement pas avérée, ou que certaines races que l'on pourrait qualifier de dangereuses en raison de leur implication dans des accidents par morsures (le Berger allemand ou belge) n'y figurent pas, elle ne doit pas pour autant être annulée. Le législateur cantonal disposant d'un grand pouvoir d'appréciation, il lui était loisible d'écarter certains chiens de sa liste d'interdiction, en prenant également en considération d'autres critères, tel le symbole (bien culturel) que peut représenter une race de chiens (le Saint-Bernard) ou les habitudes de la population s'agissant de certaines races de chiens (le Berger allemand considéré comme chien policier). Enfin, il y a lieu de relever une certaine urgence à légiférer en la matière, ce qui explique que le législateur valaisan n'ait pas jugé opportun d'attendre la parution de données statistiques fiables, d'où le caractère provisoire de la liste contestée.</w:t>
      </w:r>
    </w:p>
    <w:p>
      <w:r>
        <w:rPr>
          <w:b/>
        </w:rPr>
        <w:t>E. 4.4</w:t>
      </w:r>
    </w:p>
    <w:p>
      <w:r>
        <w:t>L'arrêté du Conseil d'Etat du 21 décembre 2005 contient des dispositions transitoires pour les détenteurs de chiens figurant sur la liste. Elles prévoient notamment la stérilisation de ces animaux lorsque l'examen obligatoire auquel ils sont soumis révèle qu'ils doivent être considérés comme potentiellement dangereux. Le Conseil d'Etat précise que l'obligation de stériliser constitue un corollaire nécessaire et logique à l'interdiction des races. Les recourants se bornent à évoquer cette question; à défaut de motivation suffisante au sens de l' art. 90 al. 1 let. b OJ (cf. ATF 130 I 258 consid. 1.3 p. 261 et l'arrêt cité), il n'y a pas lieu d'examiner la constitutionnalité de ces dispositions transitoires.</w:t>
      </w:r>
    </w:p>
    <w:p>
      <w:r>
        <w:rPr>
          <w:b/>
        </w:rPr>
        <w:t>E. 4.5</w:t>
      </w:r>
    </w:p>
    <w:p>
      <w:r>
        <w:t>Force est de conclure que, pour l'essentiel, la réglementation édictée par le Conseil d'Etat du canton du Valais, fondée sur des BGE 133 I 249 S. 259 critères qui n'apparaissent pas comme déraisonnables, n'a pas été établie en violation des principes de l'égalité et de la protection contre l'arbitraire.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